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40" w:before="2400"/>
        <w:jc w:val="center"/>
      </w:pPr>
      <w:r>
        <w:rPr>
          <w:b/>
          <w:bCs/>
          <w:sz w:val="48"/>
          <w:szCs w:val="48"/>
        </w:rPr>
        <w:t xml:space="preserve">MARKETING AGREEMENT</w:t>
      </w:r>
    </w:p>
    <w:p>
      <w:pPr>
        <w:spacing w:after="240"/>
        <w:jc w:val="center"/>
      </w:pPr>
      <w:r>
        <w:rPr>
          <w:i/>
          <w:iCs/>
          <w:sz w:val="28"/>
          <w:szCs w:val="28"/>
        </w:rPr>
        <w:t xml:space="preserve">8 May 1998 (expired 30 June 2003)</w:t>
      </w:r>
    </w:p>
    <w:p>
      <w:pPr>
        <w:spacing w:after="720"/>
        <w:jc w:val="center"/>
      </w:pPr>
      <w:r>
        <w:rPr>
          <w:sz w:val="22"/>
          <w:szCs w:val="22"/>
        </w:rPr>
        <w:t xml:space="preserve">Marketing Company parties — initial Australian framework</w:t>
      </w:r>
    </w:p>
    <w:p>
      <w:pPr>
        <w:spacing w:after="240"/>
        <w:jc w:val="center"/>
      </w:pPr>
      <w:r>
        <w:rPr>
          <w:b/>
          <w:bCs/>
          <w:color w:val="1F3864"/>
          <w:sz w:val="22"/>
          <w:szCs w:val="22"/>
        </w:rPr>
        <w:t xml:space="preserve">Database Edition — Searchable Companion</w:t>
      </w:r>
    </w:p>
    <w:p>
      <w:pPr>
        <w:spacing w:after="1200"/>
        <w:jc w:val="center"/>
      </w:pPr>
      <w:r>
        <w:rPr>
          <w:sz w:val="20"/>
          <w:szCs w:val="20"/>
        </w:rPr>
        <w:t xml:space="preserve">Harrison v Aegon / Transamerica Entities · NSW Supreme Court Commercial List</w:t>
      </w:r>
    </w:p>
    <w:p>
      <w:pPr>
        <w:pBdr>
          <w:top w:val="single" w:color="2E75B6" w:sz="6" w:space="6"/>
          <w:bottom w:val="single" w:color="2E75B6" w:sz="6" w:space="6"/>
        </w:pBdr>
        <w:spacing w:after="240" w:before="240"/>
        <w:jc w:val="center"/>
      </w:pPr>
      <w:r>
        <w:rPr>
          <w:i/>
          <w:iCs/>
          <w:sz w:val="20"/>
          <w:szCs w:val="20"/>
        </w:rPr>
        <w:t xml:space="preserve">Provided for searchability only. The operative instrument is the executed PDF.</w:t>
      </w:r>
    </w:p>
    <w:p>
      <w:pPr>
        <w:spacing w:after="240"/>
      </w:pPr>
      <w:r>
        <w:t xml:space="preserve"/>
      </w:r>
    </w:p>
    <w:p>
      <w:pPr>
        <w:pStyle w:val="Heading3"/>
        <w:spacing w:after="120" w:before="240"/>
      </w:pPr>
      <w:r>
        <w:rPr>
          <w:b/>
          <w:bCs/>
        </w:rPr>
        <w:t xml:space="preserve">Executed Original (Source PDF)</w:t>
      </w:r>
    </w:p>
    <w:p>
      <w:pPr>
        <w:spacing w:after="120"/>
      </w:pPr>
      <w:r>
        <w:rPr>
          <w:rFonts w:ascii="Consolas" w:cs="Consolas" w:eastAsia="Consolas" w:hAnsi="Consolas"/>
          <w:sz w:val="20"/>
          <w:szCs w:val="20"/>
        </w:rPr>
        <w:t xml:space="preserve">5_8_3_Marketing_Agreement_FOUNDATIONAL_CONTRACT.pdf  (executed original)
5_8_3_1_Marketing_Agreement_Deed_Amendment_FOUNDATIONAL_CONTRACT.pdf  (deed amendment)</w:t>
      </w:r>
    </w:p>
    <w:p>
      <w:pPr>
        <w:spacing w:after="240"/>
      </w:pPr>
      <w:r>
        <w:rPr>
          <w:i/>
          <w:iCs/>
          <w:color w:val="666666"/>
          <w:sz w:val="20"/>
          <w:szCs w:val="20"/>
        </w:rPr>
        <w:t xml:space="preserve">Held in: court bundle · aiooj.com (executed PDFs folder) · local archive.</w:t>
      </w:r>
    </w:p>
    <w:p>
      <w:r>
        <w:br w:type="page"/>
      </w:r>
    </w:p>
    <w:p>
      <w:pPr>
        <w:spacing w:after="80"/>
      </w:pPr>
      <w:r>
        <w:t xml:space="preserve"/>
      </w:r>
    </w:p>
    <w:p>
      <w:pPr>
        <w:spacing w:after="120"/>
      </w:pPr>
      <w:r>
        <w:rPr>
          <w:sz w:val="22"/>
          <w:szCs w:val="22"/>
        </w:rPr>
        <w:t xml:space="preserve">Critical Timeline and Termination</w:t>
      </w:r>
    </w:p>
    <w:p>
      <w:pPr>
        <w:spacing w:after="80"/>
      </w:pPr>
      <w:r>
        <w:t xml:space="preserve"/>
      </w:r>
    </w:p>
    <w:p>
      <w:pPr>
        <w:spacing w:after="120"/>
      </w:pPr>
      <w:r>
        <w:rPr>
          <w:sz w:val="22"/>
          <w:szCs w:val="22"/>
        </w:rPr>
        <w:t xml:space="preserve">Execution: May 8, 1998 Expiration: June 30, 2003 Survival Clause: NONE</w:t>
      </w:r>
    </w:p>
    <w:p>
      <w:pPr>
        <w:spacing w:after="80"/>
      </w:pPr>
      <w:r>
        <w:t xml:space="preserve"/>
      </w:r>
    </w:p>
    <w:p>
      <w:pPr>
        <w:spacing w:after="120"/>
      </w:pPr>
      <w:r>
        <w:rPr>
          <w:sz w:val="22"/>
          <w:szCs w:val="22"/>
        </w:rPr>
        <w:t xml:space="preserve">Significance of No Survival Clause: The Marketing Agreement contained NO provision for any obligations to survive termination. This is critical because Defendants later claimed (falsely) in May 2006 that Marketing Agreement obligations justified commission changes—three years after the agreement had completely expired.</w:t>
      </w:r>
    </w:p>
    <w:p>
      <w:pPr>
        <w:spacing w:after="80"/>
      </w:pPr>
      <w:r>
        <w:t xml:space="preserve"/>
      </w:r>
    </w:p>
    <w:p>
      <w:pPr>
        <w:spacing w:after="120"/>
      </w:pPr>
      <w:r>
        <w:rPr>
          <w:sz w:val="22"/>
          <w:szCs w:val="22"/>
        </w:rPr>
        <w:t xml:space="preserve">Relationship to Other Agreements</w:t>
      </w:r>
    </w:p>
    <w:p>
      <w:pPr>
        <w:spacing w:after="80"/>
      </w:pPr>
      <w:r>
        <w:t xml:space="preserve"/>
      </w:r>
    </w:p>
    <w:p>
      <w:pPr>
        <w:spacing w:after="120"/>
      </w:pPr>
      <w:r>
        <w:rPr>
          <w:sz w:val="22"/>
          <w:szCs w:val="22"/>
        </w:rPr>
        <w:t xml:space="preserve">The Marketing Agreement initially provided the framework for Australian business commission calculations. However:</w:t>
      </w:r>
    </w:p>
    <w:p>
      <w:pPr>
        <w:spacing w:after="80"/>
      </w:pPr>
      <w:r>
        <w:t xml:space="preserve"/>
      </w:r>
    </w:p>
    <w:p>
      <w:pPr>
        <w:spacing w:after="120"/>
      </w:pPr>
      <w:r>
        <w:rPr>
          <w:sz w:val="22"/>
          <w:szCs w:val="22"/>
        </w:rPr>
        <w:t xml:space="preserve">1. It was superseded by the GPR-TIMAP Agreement from April 1, 2000</w:t>
      </w:r>
    </w:p>
    <w:p>
      <w:pPr>
        <w:spacing w:after="80"/>
      </w:pPr>
      <w:r>
        <w:t xml:space="preserve"/>
      </w:r>
    </w:p>
    <w:p>
      <w:pPr>
        <w:spacing w:after="120"/>
      </w:pPr>
      <w:r>
        <w:rPr>
          <w:sz w:val="22"/>
          <w:szCs w:val="22"/>
        </w:rPr>
        <w:t xml:space="preserve">2. It expired completely on June 30, 2003</w:t>
      </w:r>
    </w:p>
    <w:p>
      <w:pPr>
        <w:spacing w:after="80"/>
      </w:pPr>
      <w:r>
        <w:t xml:space="preserve"/>
      </w:r>
    </w:p>
    <w:p>
      <w:pPr>
        <w:spacing w:after="120" w:before="200"/>
      </w:pPr>
      <w:r>
        <w:rPr>
          <w:b/>
          <w:bCs/>
          <w:sz w:val="22"/>
          <w:szCs w:val="22"/>
        </w:rPr>
        <w:t xml:space="preserve">3.  Its expiration had NO effect on continuing obligations under other</w:t>
      </w:r>
    </w:p>
    <w:p>
      <w:pPr>
        <w:spacing w:after="120"/>
      </w:pPr>
      <w:r>
        <w:rPr>
          <w:sz w:val="22"/>
          <w:szCs w:val="22"/>
        </w:rPr>
        <w:t xml:space="preserve">agreements</w:t>
      </w:r>
    </w:p>
    <w:p>
      <w:pPr>
        <w:spacing w:after="80"/>
      </w:pPr>
      <w:r>
        <w:t xml:space="preserve"/>
      </w:r>
    </w:p>
    <w:p>
      <w:pPr>
        <w:spacing w:after="80"/>
      </w:pPr>
      <w:r>
        <w:t xml:space="preserve"/>
      </w:r>
    </w:p>
    <w:p>
      <w:pPr>
        <w:spacing w:after="120"/>
      </w:pPr>
      <w:r>
        <w:rPr>
          <w:sz w:val="22"/>
          <w:szCs w:val="22"/>
        </w:rPr>
        <w:t xml:space="preserve">Date: 8 May 1998</w:t>
      </w:r>
    </w:p>
    <w:p>
      <w:pPr>
        <w:spacing w:after="80"/>
      </w:pPr>
      <w:r>
        <w:t xml:space="preserve"/>
      </w:r>
    </w:p>
    <w:p>
      <w:pPr>
        <w:pStyle w:val="Heading2"/>
        <w:spacing w:after="160" w:before="240"/>
      </w:pPr>
      <w:r>
        <w:rPr>
          <w:b/>
          <w:bCs/>
        </w:rPr>
        <w:t xml:space="preserve">PARTIES</w:t>
      </w:r>
    </w:p>
    <w:p>
      <w:pPr>
        <w:spacing w:after="80"/>
      </w:pPr>
      <w:r>
        <w:t xml:space="preserve"/>
      </w:r>
    </w:p>
    <w:p>
      <w:pPr>
        <w:spacing w:after="120" w:before="200"/>
      </w:pPr>
      <w:r>
        <w:rPr>
          <w:b/>
          <w:bCs/>
          <w:sz w:val="22"/>
          <w:szCs w:val="22"/>
        </w:rPr>
        <w:t xml:space="preserve">1.  A.C.N. 082 524 785 PTY LTD (ACN 082 524 785) incorporated in New</w:t>
      </w:r>
    </w:p>
    <w:p>
      <w:pPr>
        <w:spacing w:after="120"/>
      </w:pPr>
      <w:r>
        <w:rPr>
          <w:sz w:val="22"/>
          <w:szCs w:val="22"/>
        </w:rPr>
        <w:t xml:space="preserve">South Wales of Level 17, The Chifley Tower, 2 Chifley Square, Sydney, New South Wales (the "Marketing Company"); and</w:t>
      </w:r>
    </w:p>
    <w:p>
      <w:pPr>
        <w:spacing w:after="80"/>
      </w:pPr>
      <w:r>
        <w:t xml:space="preserve"/>
      </w:r>
    </w:p>
    <w:p>
      <w:pPr>
        <w:spacing w:after="120" w:before="200"/>
      </w:pPr>
      <w:r>
        <w:rPr>
          <w:b/>
          <w:bCs/>
          <w:sz w:val="22"/>
          <w:szCs w:val="22"/>
        </w:rPr>
        <w:t xml:space="preserve">2.  A.C.N. 082 524 730 PTY LTD (ACN 082 524 730) incorporated in New</w:t>
      </w:r>
    </w:p>
    <w:p>
      <w:pPr>
        <w:spacing w:after="120"/>
      </w:pPr>
      <w:r>
        <w:rPr>
          <w:sz w:val="22"/>
          <w:szCs w:val="22"/>
        </w:rPr>
        <w:t xml:space="preserve">South Wales of Level 17, The Chifley Tower, 2 Chifley Square, Sydney, New South Wales (the "Brokerage Company")</w:t>
      </w:r>
    </w:p>
    <w:p>
      <w:pPr>
        <w:spacing w:after="80"/>
      </w:pPr>
      <w:r>
        <w:t xml:space="preserve"/>
      </w:r>
    </w:p>
    <w:p>
      <w:pPr>
        <w:pStyle w:val="Heading2"/>
        <w:spacing w:after="160" w:before="240"/>
      </w:pPr>
      <w:r>
        <w:rPr>
          <w:b/>
          <w:bCs/>
        </w:rPr>
        <w:t xml:space="preserve">RECITALS</w:t>
      </w:r>
    </w:p>
    <w:p>
      <w:pPr>
        <w:spacing w:after="80"/>
      </w:pPr>
      <w:r>
        <w:t xml:space="preserve"/>
      </w:r>
    </w:p>
    <w:p>
      <w:pPr>
        <w:spacing w:after="120"/>
      </w:pPr>
      <w:r>
        <w:rPr>
          <w:sz w:val="22"/>
          <w:szCs w:val="22"/>
        </w:rPr>
        <w:t xml:space="preserve">A. The Brokerage Company and the Marketing Company wish to work together with a view to establishing an insurance intermediary operation to service the Asia Pacific Region.</w:t>
      </w:r>
    </w:p>
    <w:p>
      <w:pPr>
        <w:spacing w:after="80"/>
      </w:pPr>
      <w:r>
        <w:t xml:space="preserve"/>
      </w:r>
    </w:p>
    <w:p>
      <w:pPr>
        <w:spacing w:after="120"/>
      </w:pPr>
      <w:r>
        <w:rPr>
          <w:sz w:val="22"/>
          <w:szCs w:val="22"/>
        </w:rPr>
        <w:t xml:space="preserve">B. This Agreement sets out the fundamental terms that are to govern the business relationship between the Brokerage Company and the Marketing Company and the conduct of the insurance intermediary operation.</w:t>
      </w:r>
    </w:p>
    <w:p>
      <w:pPr>
        <w:spacing w:after="80"/>
      </w:pPr>
      <w:r>
        <w:t xml:space="preserve"/>
      </w:r>
    </w:p>
    <w:p>
      <w:pPr>
        <w:spacing w:after="120"/>
      </w:pPr>
      <w:r>
        <w:rPr>
          <w:sz w:val="22"/>
          <w:szCs w:val="22"/>
        </w:rPr>
        <w:t xml:space="preserve">IT IS AGREED as follows:</w:t>
      </w:r>
    </w:p>
    <w:p>
      <w:pPr>
        <w:spacing w:after="80"/>
      </w:pPr>
      <w:r>
        <w:t xml:space="preserve"/>
      </w:r>
    </w:p>
    <w:p>
      <w:pPr>
        <w:pStyle w:val="Heading2"/>
        <w:spacing w:after="160" w:before="240"/>
      </w:pPr>
      <w:r>
        <w:rPr>
          <w:b/>
          <w:bCs/>
        </w:rPr>
        <w:t xml:space="preserve">1. DEFINITIONS AND INTERPRETATION</w:t>
      </w:r>
    </w:p>
    <w:p>
      <w:pPr>
        <w:spacing w:after="80"/>
      </w:pPr>
      <w:r>
        <w:t xml:space="preserve"/>
      </w:r>
    </w:p>
    <w:p>
      <w:pPr>
        <w:spacing w:after="120"/>
      </w:pPr>
      <w:r>
        <w:rPr>
          <w:sz w:val="22"/>
          <w:szCs w:val="22"/>
        </w:rPr>
        <w:t xml:space="preserve">1.1 Definitions</w:t>
      </w:r>
    </w:p>
    <w:p>
      <w:pPr>
        <w:spacing w:after="80"/>
      </w:pPr>
      <w:r>
        <w:t xml:space="preserve"/>
      </w:r>
    </w:p>
    <w:p>
      <w:pPr>
        <w:spacing w:after="120"/>
      </w:pPr>
      <w:r>
        <w:rPr>
          <w:sz w:val="22"/>
          <w:szCs w:val="22"/>
        </w:rPr>
        <w:t xml:space="preserve">The following definitions apply unless the context requires otherwise.</w:t>
      </w:r>
    </w:p>
    <w:p>
      <w:pPr>
        <w:spacing w:after="80"/>
      </w:pPr>
      <w:r>
        <w:t xml:space="preserve"/>
      </w:r>
    </w:p>
    <w:p>
      <w:pPr>
        <w:spacing w:after="120"/>
      </w:pPr>
      <w:r>
        <w:rPr>
          <w:sz w:val="22"/>
          <w:szCs w:val="22"/>
        </w:rPr>
        <w:t xml:space="preserve">Asia Pacific Region means Australia, New Zealand, South Korea, Singapore, Malaysia, Japan, Indonesia, Thailand, Philippines, China, India, Hong Kong, Taiwan and other countries as agreed in writing between Harrison and the Brokerage Company pursuant to the Employment Agreement.</w:t>
      </w:r>
    </w:p>
    <w:p>
      <w:pPr>
        <w:spacing w:after="80"/>
      </w:pPr>
      <w:r>
        <w:t xml:space="preserve"/>
      </w:r>
    </w:p>
    <w:p>
      <w:pPr>
        <w:spacing w:after="120"/>
      </w:pPr>
      <w:r>
        <w:rPr>
          <w:sz w:val="22"/>
          <w:szCs w:val="22"/>
        </w:rPr>
        <w:t xml:space="preserve">Employment Agreement means the employment agreement to be entered into on or about the date of this Agreement between Keith Harrison and the Brokerage Company setting out the terms upon which Keith Harrison will be engaged by the Brokerage Company in the position of Managing Director.</w:t>
      </w:r>
    </w:p>
    <w:p>
      <w:pPr>
        <w:spacing w:after="80"/>
      </w:pPr>
      <w:r>
        <w:t xml:space="preserve"/>
      </w:r>
    </w:p>
    <w:p>
      <w:pPr>
        <w:spacing w:after="120"/>
      </w:pPr>
      <w:r>
        <w:rPr>
          <w:sz w:val="22"/>
          <w:szCs w:val="22"/>
        </w:rPr>
        <w:t xml:space="preserve">Sponsor means a credit card or debit card issuing organisation or other organisations agreed to from time to time by Keith Harrison and the Brokerage Company.</w:t>
      </w:r>
    </w:p>
    <w:p>
      <w:pPr>
        <w:spacing w:after="80"/>
      </w:pPr>
      <w:r>
        <w:t xml:space="preserve"/>
      </w:r>
    </w:p>
    <w:p>
      <w:pPr>
        <w:spacing w:after="120"/>
      </w:pPr>
      <w:r>
        <w:rPr>
          <w:sz w:val="22"/>
          <w:szCs w:val="22"/>
        </w:rPr>
        <w:t xml:space="preserve">1.2 Interpretation</w:t>
      </w:r>
    </w:p>
    <w:p>
      <w:pPr>
        <w:spacing w:after="80"/>
      </w:pPr>
      <w:r>
        <w:t xml:space="preserve"/>
      </w:r>
    </w:p>
    <w:p>
      <w:pPr>
        <w:spacing w:after="120"/>
      </w:pPr>
      <w:r>
        <w:rPr>
          <w:sz w:val="22"/>
          <w:szCs w:val="22"/>
        </w:rPr>
        <w:t xml:space="preserve">Headings are for convenience only and do not affect interpretation. The following rules of interpretation apply unless the context requires otherwise.</w:t>
      </w:r>
    </w:p>
    <w:p>
      <w:pPr>
        <w:spacing w:after="80"/>
      </w:pPr>
      <w:r>
        <w:t xml:space="preserve"/>
      </w:r>
    </w:p>
    <w:p>
      <w:pPr>
        <w:spacing w:after="120" w:before="200"/>
      </w:pPr>
      <w:r>
        <w:rPr>
          <w:b/>
          <w:bCs/>
          <w:sz w:val="22"/>
          <w:szCs w:val="22"/>
        </w:rPr>
        <w:t xml:space="preserve">(a) The singular includes the plural and conversely. (b) A gender</w:t>
      </w:r>
    </w:p>
    <w:p>
      <w:pPr>
        <w:spacing w:after="120"/>
      </w:pPr>
      <w:r>
        <w:rPr>
          <w:sz w:val="22"/>
          <w:szCs w:val="22"/>
        </w:rPr>
        <w:t xml:space="preserve">includes all genders. (c) Where a word or phrase is defined, its other grammatical forms have a corresponding meaning. (d) A reference to a Clause or Schedule is to a clause of or schedule to this Deed. (e) A reference to any party to this Deed or any other agreement or document includes the party's successors and permitted assigns. (f) A reference to currency is to Australian currency.</w:t>
      </w:r>
    </w:p>
    <w:p>
      <w:pPr>
        <w:spacing w:after="80"/>
      </w:pPr>
      <w:r>
        <w:t xml:space="preserve"/>
      </w:r>
    </w:p>
    <w:p>
      <w:pPr>
        <w:pStyle w:val="Heading2"/>
        <w:spacing w:after="160" w:before="240"/>
      </w:pPr>
      <w:r>
        <w:rPr>
          <w:b/>
          <w:bCs/>
        </w:rPr>
        <w:t xml:space="preserve">2. TERM</w:t>
      </w:r>
    </w:p>
    <w:p>
      <w:pPr>
        <w:spacing w:after="80"/>
      </w:pPr>
      <w:r>
        <w:t xml:space="preserve"/>
      </w:r>
    </w:p>
    <w:p>
      <w:pPr>
        <w:spacing w:after="120"/>
      </w:pPr>
      <w:r>
        <w:rPr>
          <w:sz w:val="22"/>
          <w:szCs w:val="22"/>
        </w:rPr>
        <w:t xml:space="preserve">This Agreement shall continue from the date of this Agreement until the Employment Agreement is terminated.</w:t>
      </w:r>
    </w:p>
    <w:p>
      <w:pPr>
        <w:spacing w:after="80"/>
      </w:pPr>
      <w:r>
        <w:t xml:space="preserve"/>
      </w:r>
    </w:p>
    <w:p>
      <w:pPr>
        <w:pStyle w:val="Heading2"/>
        <w:spacing w:after="160" w:before="240"/>
      </w:pPr>
      <w:r>
        <w:rPr>
          <w:b/>
          <w:bCs/>
        </w:rPr>
        <w:t xml:space="preserve">3. EXCLUSIVITY</w:t>
      </w:r>
    </w:p>
    <w:p>
      <w:pPr>
        <w:spacing w:after="80"/>
      </w:pPr>
      <w:r>
        <w:t xml:space="preserve"/>
      </w:r>
    </w:p>
    <w:p>
      <w:pPr>
        <w:spacing w:after="120"/>
      </w:pPr>
      <w:r>
        <w:rPr>
          <w:sz w:val="22"/>
          <w:szCs w:val="22"/>
        </w:rPr>
        <w:t xml:space="preserve">The Marketing Company and the Brokerage Company will work with each other in the Asia Pacific Region on an exclusive basis, pursuant to which both companies will direct all business either of them procures in the Asia Pacific Region to the other company, unless otherwise agreed in writing between the Brokerage Company and the Marketing Company.</w:t>
      </w:r>
    </w:p>
    <w:p>
      <w:pPr>
        <w:spacing w:after="80"/>
      </w:pPr>
      <w:r>
        <w:t xml:space="preserve"/>
      </w:r>
    </w:p>
    <w:p>
      <w:pPr>
        <w:pStyle w:val="Heading2"/>
        <w:spacing w:after="160" w:before="240"/>
      </w:pPr>
      <w:r>
        <w:rPr>
          <w:b/>
          <w:bCs/>
        </w:rPr>
        <w:t xml:space="preserve">4. PRICING</w:t>
      </w:r>
    </w:p>
    <w:p>
      <w:pPr>
        <w:spacing w:after="80"/>
      </w:pPr>
      <w:r>
        <w:t xml:space="preserve"/>
      </w:r>
    </w:p>
    <w:p>
      <w:pPr>
        <w:spacing w:after="120"/>
      </w:pPr>
      <w:r>
        <w:rPr>
          <w:sz w:val="22"/>
          <w:szCs w:val="22"/>
        </w:rPr>
        <w:t xml:space="preserve">Insurance policies sold through the Marketing Company will be structured such that the total aggregate compensation available for payment to a Sponsor and the Brokerage Company will usually be in the order of 20-25% of premiums paid by customers for such policies (to be decided on a case by case basis), except in the case of consumer credit insurance where the total compensation available may be somewhat higher. The Sponsor will be responsible for compensating its underwriting insurance company (if any) out of the Sponsor's portion of the compensation.</w:t>
      </w:r>
    </w:p>
    <w:p>
      <w:pPr>
        <w:spacing w:after="80"/>
      </w:pPr>
      <w:r>
        <w:t xml:space="preserve"/>
      </w:r>
    </w:p>
    <w:p>
      <w:pPr>
        <w:pStyle w:val="Heading2"/>
        <w:spacing w:after="160" w:before="240"/>
      </w:pPr>
      <w:r>
        <w:rPr>
          <w:b/>
          <w:bCs/>
        </w:rPr>
        <w:t xml:space="preserve">5. PAYMENTS TO BROKERAGE COMPANY</w:t>
      </w:r>
    </w:p>
    <w:p>
      <w:pPr>
        <w:spacing w:after="80"/>
      </w:pPr>
      <w:r>
        <w:t xml:space="preserve"/>
      </w:r>
    </w:p>
    <w:p>
      <w:pPr>
        <w:spacing w:after="120"/>
      </w:pPr>
      <w:r>
        <w:rPr>
          <w:sz w:val="22"/>
          <w:szCs w:val="22"/>
        </w:rPr>
        <w:t xml:space="preserve">The compensation payable to the Brokerage Company for insurance policies sold through the Marketing Company will be paid to the Brokerage Company, within 20 days after the close of the month in which the Marketing Company receives its compensation it is received by the Marketing Company.</w:t>
      </w:r>
    </w:p>
    <w:p>
      <w:pPr>
        <w:spacing w:after="80"/>
      </w:pPr>
      <w:r>
        <w:t xml:space="preserve"/>
      </w:r>
    </w:p>
    <w:p>
      <w:pPr>
        <w:pStyle w:val="Heading2"/>
        <w:spacing w:after="160" w:before="240"/>
      </w:pPr>
      <w:r>
        <w:rPr>
          <w:b/>
          <w:bCs/>
        </w:rPr>
        <w:t xml:space="preserve">6. GOVERNING LAW</w:t>
      </w:r>
    </w:p>
    <w:p>
      <w:pPr>
        <w:spacing w:after="80"/>
      </w:pPr>
      <w:r>
        <w:t xml:space="preserve"/>
      </w:r>
    </w:p>
    <w:p>
      <w:pPr>
        <w:spacing w:after="120"/>
      </w:pPr>
      <w:r>
        <w:rPr>
          <w:sz w:val="22"/>
          <w:szCs w:val="22"/>
        </w:rPr>
        <w:t xml:space="preserve">This Deed is governed by the laws of New South Wales. The parties submit to the non-exclusive jurisdiction of courts exercising jurisdiction there.</w:t>
      </w:r>
    </w:p>
    <w:p>
      <w:pPr>
        <w:spacing w:after="80"/>
      </w:pPr>
      <w:r>
        <w:t xml:space="preserve"/>
      </w:r>
    </w:p>
    <w:p>
      <w:pPr>
        <w:pStyle w:val="Heading2"/>
        <w:spacing w:after="160" w:before="240"/>
      </w:pPr>
      <w:r>
        <w:rPr>
          <w:b/>
          <w:bCs/>
        </w:rPr>
        <w:t xml:space="preserve">7. NO WAIVER</w:t>
      </w:r>
    </w:p>
    <w:p>
      <w:pPr>
        <w:spacing w:after="80"/>
      </w:pPr>
      <w:r>
        <w:t xml:space="preserve"/>
      </w:r>
    </w:p>
    <w:p>
      <w:pPr>
        <w:spacing w:after="120"/>
      </w:pPr>
      <w:r>
        <w:rPr>
          <w:sz w:val="22"/>
          <w:szCs w:val="22"/>
        </w:rPr>
        <w:t xml:space="preserve">No failure to exercise and no delay in exercising any right, power or remedy under this Deed will operate as a waiver. Nor will any single or partial exercise of any right, power or remedy preclude any other or further exercise of that or any other right, power or remedy.</w:t>
      </w:r>
    </w:p>
    <w:p>
      <w:pPr>
        <w:spacing w:after="80"/>
      </w:pPr>
      <w:r>
        <w:t xml:space="preserve"/>
      </w:r>
    </w:p>
    <w:p>
      <w:pPr>
        <w:pStyle w:val="Heading2"/>
        <w:spacing w:after="160" w:before="240"/>
      </w:pPr>
      <w:r>
        <w:rPr>
          <w:b/>
          <w:bCs/>
        </w:rPr>
        <w:t xml:space="preserve">8. ASSIGNMENT</w:t>
      </w:r>
    </w:p>
    <w:p>
      <w:pPr>
        <w:spacing w:after="80"/>
      </w:pPr>
      <w:r>
        <w:t xml:space="preserve"/>
      </w:r>
    </w:p>
    <w:p>
      <w:pPr>
        <w:spacing w:after="120"/>
      </w:pPr>
      <w:r>
        <w:rPr>
          <w:sz w:val="22"/>
          <w:szCs w:val="22"/>
        </w:rPr>
        <w:t xml:space="preserve">The rights and obligations of each party under this Deed are personal. They cannot be assigned, charged or otherwise dealt with, and no party shall attempt or purport to do so, without the prior written consent of all the parties.</w:t>
      </w:r>
    </w:p>
    <w:p>
      <w:pPr>
        <w:spacing w:after="80"/>
      </w:pPr>
      <w:r>
        <w:t xml:space="preserve"/>
      </w:r>
    </w:p>
    <w:p>
      <w:pPr>
        <w:pStyle w:val="Heading2"/>
        <w:spacing w:after="160" w:before="240"/>
      </w:pPr>
      <w:r>
        <w:rPr>
          <w:b/>
          <w:bCs/>
        </w:rPr>
        <w:t xml:space="preserve">9. AMENDMENT</w:t>
      </w:r>
    </w:p>
    <w:p>
      <w:pPr>
        <w:spacing w:after="80"/>
      </w:pPr>
      <w:r>
        <w:t xml:space="preserve"/>
      </w:r>
    </w:p>
    <w:p>
      <w:pPr>
        <w:spacing w:after="120"/>
      </w:pPr>
      <w:r>
        <w:rPr>
          <w:sz w:val="22"/>
          <w:szCs w:val="22"/>
        </w:rPr>
        <w:t xml:space="preserve">This Deed may be amended only by another Deed executed by all parties.</w:t>
      </w:r>
    </w:p>
    <w:p>
      <w:pPr>
        <w:spacing w:after="80"/>
      </w:pPr>
      <w:r>
        <w:t xml:space="preserve"/>
      </w:r>
    </w:p>
    <w:p>
      <w:pPr>
        <w:pStyle w:val="Heading2"/>
        <w:spacing w:after="160" w:before="240"/>
      </w:pPr>
      <w:r>
        <w:rPr>
          <w:b/>
          <w:bCs/>
        </w:rPr>
        <w:t xml:space="preserve">10. NOTICES</w:t>
      </w:r>
    </w:p>
    <w:p>
      <w:pPr>
        <w:spacing w:after="80"/>
      </w:pPr>
      <w:r>
        <w:t xml:space="preserve"/>
      </w:r>
    </w:p>
    <w:p>
      <w:pPr>
        <w:spacing w:after="120"/>
      </w:pPr>
      <w:r>
        <w:rPr>
          <w:sz w:val="22"/>
          <w:szCs w:val="22"/>
        </w:rPr>
        <w:t xml:space="preserve">Any notice required to be given under this Deed by any party to another shall be in writing addressed to the intended recipient at the address last notified by the intended recipient to the party giving the notice.</w:t>
      </w:r>
    </w:p>
    <w:p>
      <w:pPr>
        <w:spacing w:after="80"/>
      </w:pPr>
      <w:r>
        <w:t xml:space="preserve"/>
      </w:r>
    </w:p>
    <w:p>
      <w:pPr>
        <w:pStyle w:val="Heading2"/>
        <w:spacing w:after="160" w:before="240"/>
      </w:pPr>
      <w:r>
        <w:rPr>
          <w:b/>
          <w:bCs/>
        </w:rPr>
        <w:t xml:space="preserve">11. ENTIRE AGREEMENT</w:t>
      </w:r>
    </w:p>
    <w:p>
      <w:pPr>
        <w:spacing w:after="80"/>
      </w:pPr>
      <w:r>
        <w:t xml:space="preserve"/>
      </w:r>
    </w:p>
    <w:p>
      <w:pPr>
        <w:spacing w:after="120"/>
      </w:pPr>
      <w:r>
        <w:rPr>
          <w:sz w:val="22"/>
          <w:szCs w:val="22"/>
        </w:rPr>
        <w:t xml:space="preserve">This Deed contains the entire agreement of the parties with respect to its subject matter. It sets out the only conduct relied on by the parties and supersedes all earlier conduct by the parties with respect to its subject matter.</w:t>
      </w:r>
    </w:p>
    <w:p>
      <w:pPr>
        <w:spacing w:after="80"/>
      </w:pPr>
      <w:r>
        <w:t xml:space="preserve"/>
      </w:r>
    </w:p>
    <w:p>
      <w:pPr>
        <w:pStyle w:val="Heading2"/>
        <w:spacing w:after="160" w:before="240"/>
      </w:pPr>
      <w:r>
        <w:rPr>
          <w:b/>
          <w:bCs/>
        </w:rPr>
        <w:t xml:space="preserve">12. COUNTERPARTS</w:t>
      </w:r>
    </w:p>
    <w:p>
      <w:pPr>
        <w:spacing w:after="80"/>
      </w:pPr>
      <w:r>
        <w:t xml:space="preserve"/>
      </w:r>
    </w:p>
    <w:p>
      <w:pPr>
        <w:spacing w:after="120"/>
      </w:pPr>
      <w:r>
        <w:rPr>
          <w:sz w:val="22"/>
          <w:szCs w:val="22"/>
        </w:rPr>
        <w:t xml:space="preserve">This Deed may be executed in any number of counterparts. All counterparts together will be taken together to constitute one instrument.</w:t>
      </w:r>
    </w:p>
    <w:p>
      <w:pPr>
        <w:spacing w:after="80"/>
      </w:pPr>
      <w:r>
        <w:t xml:space="preserve"/>
      </w:r>
    </w:p>
    <w:p>
      <w:pPr>
        <w:spacing w:after="120"/>
      </w:pPr>
      <w:r>
        <w:rPr>
          <w:sz w:val="22"/>
          <w:szCs w:val="22"/>
        </w:rPr>
        <w:t xml:space="preserve">EXECUTED in Sydney.</w:t>
      </w:r>
    </w:p>
    <w:p>
      <w:pPr>
        <w:spacing w:after="80"/>
      </w:pPr>
      <w:r>
        <w:t xml:space="preserve"/>
      </w:r>
    </w:p>
    <w:p>
      <w:pPr>
        <w:spacing w:after="120"/>
      </w:pPr>
      <w:r>
        <w:rPr>
          <w:sz w:val="22"/>
          <w:szCs w:val="22"/>
        </w:rPr>
        <w:t xml:space="preserve">THE COMMON SEAL of A.C.N. 082 524 730 PTY LTD was duly affixed in the presence of:</w:t>
      </w:r>
    </w:p>
    <w:p>
      <w:pPr>
        <w:spacing w:after="80"/>
      </w:pPr>
      <w:r>
        <w:t xml:space="preserve"/>
      </w:r>
    </w:p>
    <w:p>
      <w:pPr>
        <w:spacing w:after="120"/>
      </w:pPr>
      <w:r>
        <w:rPr>
          <w:sz w:val="22"/>
          <w:szCs w:val="22"/>
        </w:rPr>
        <w:t xml:space="preserve">Signature: [signed] Print name: RUTH McCOLL Office held: Secretary</w:t>
      </w:r>
    </w:p>
    <w:p>
      <w:pPr>
        <w:spacing w:after="80"/>
      </w:pPr>
      <w:r>
        <w:t xml:space="preserve"/>
      </w:r>
    </w:p>
    <w:p>
      <w:pPr>
        <w:spacing w:after="120"/>
      </w:pPr>
      <w:r>
        <w:rPr>
          <w:sz w:val="22"/>
          <w:szCs w:val="22"/>
        </w:rPr>
        <w:t xml:space="preserve">Signature: [signed] Print name: JOHN MORGAN Office held: Director</w:t>
      </w:r>
    </w:p>
    <w:p>
      <w:pPr>
        <w:spacing w:after="80"/>
      </w:pPr>
      <w:r>
        <w:t xml:space="preserve"/>
      </w:r>
    </w:p>
    <w:p>
      <w:pPr>
        <w:spacing w:after="120"/>
      </w:pPr>
      <w:r>
        <w:rPr>
          <w:sz w:val="22"/>
          <w:szCs w:val="22"/>
        </w:rPr>
        <w:t xml:space="preserve">THE COMMON SEAL of A.C.N. 082 524 785 PTY LTD was duly affixed in the presence of:</w:t>
      </w:r>
    </w:p>
    <w:p>
      <w:pPr>
        <w:spacing w:after="80"/>
      </w:pPr>
      <w:r>
        <w:t xml:space="preserve"/>
      </w:r>
    </w:p>
    <w:p>
      <w:pPr>
        <w:spacing w:after="120"/>
      </w:pPr>
      <w:r>
        <w:rPr>
          <w:sz w:val="22"/>
          <w:szCs w:val="22"/>
        </w:rPr>
        <w:t xml:space="preserve">Signature: [signed] Print name: RUTH McCOLL Office held: Secretary</w:t>
      </w:r>
    </w:p>
    <w:p>
      <w:pPr>
        <w:spacing w:after="80"/>
      </w:pPr>
      <w:r>
        <w:t xml:space="preserve"/>
      </w:r>
    </w:p>
    <w:p>
      <w:pPr>
        <w:spacing w:after="120"/>
      </w:pPr>
      <w:r>
        <w:rPr>
          <w:sz w:val="22"/>
          <w:szCs w:val="22"/>
        </w:rPr>
        <w:t xml:space="preserve">Signature: [signed] Print name: JOHN MORGAN Office held: Director</w:t>
      </w:r>
    </w:p>
    <w:p>
      <w:pPr>
        <w:spacing w:after="80"/>
      </w:pPr>
      <w:r>
        <w:t xml:space="preserve"/>
      </w:r>
    </w:p>
    <w:p>
      <w:pPr>
        <w:spacing w:after="120"/>
      </w:pPr>
      <w:r>
        <w:rPr>
          <w:sz w:val="22"/>
          <w:szCs w:val="22"/>
        </w:rPr>
        <w:t xml:space="preserve">Reference: JKM 1280089 MKB</w:t>
      </w:r>
    </w:p>
    <w:p>
      <w:pPr>
        <w:spacing w:after="80"/>
      </w:pPr>
      <w:r>
        <w:t xml:space="preserve"/>
      </w:r>
    </w:p>
    <w:p>
      <w:pPr>
        <w:spacing w:after="120"/>
      </w:pPr>
      <w:r>
        <w:rPr>
          <w:sz w:val="22"/>
          <w:szCs w:val="22"/>
        </w:rPr>
        <w:t xml:space="preserve">[]</w:t>
      </w:r>
    </w:p>
    <w:p>
      <w:pPr>
        <w:spacing w:after="80"/>
      </w:pPr>
      <w:r>
        <w:t xml:space="preserve"/>
      </w:r>
    </w:p>
    <w:p>
      <w:pPr>
        <w:spacing w:after="120"/>
      </w:pPr>
      <w:r>
        <w:rPr>
          <w:sz w:val="22"/>
          <w:szCs w:val="22"/>
        </w:rPr>
        <w:t xml:space="preserve">[]</w:t>
      </w:r>
    </w:p>
    <w:p>
      <w:pPr>
        <w:spacing w:after="80"/>
      </w:pPr>
      <w:r>
        <w:t xml:space="preserve"/>
      </w:r>
    </w:p>
    <w:p>
      <w:pPr>
        <w:spacing w:after="120"/>
      </w:pPr>
      <w:r>
        <w:rPr>
          <w:sz w:val="22"/>
          <w:szCs w:val="22"/>
        </w:rPr>
        <w:t xml:space="preserve">[]</w:t>
      </w:r>
    </w:p>
    <w:p>
      <w:pPr>
        <w:spacing w:after="80"/>
      </w:pPr>
      <w:r>
        <w:t xml:space="preserve"/>
      </w:r>
    </w:p>
    <w:p>
      <w:pPr>
        <w:spacing w:after="120"/>
      </w:pPr>
      <w:r>
        <w:rPr>
          <w:sz w:val="22"/>
          <w:szCs w:val="22"/>
        </w:rPr>
        <w:t xml:space="preserve">[]</w:t>
      </w:r>
    </w:p>
    <w:p>
      <w:pPr>
        <w:spacing w:after="80"/>
      </w:pPr>
      <w:r>
        <w:t xml:space="preserve"/>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666666"/>
        <w:sz w:val="18"/>
        <w:szCs w:val="18"/>
      </w:rPr>
      <w:t xml:space="preserve">Page </w:t>
    </w:r>
    <w:r>
      <w:rPr>
        <w:color w:val="666666"/>
        <w:sz w:val="18"/>
        <w:szCs w:val="18"/>
      </w:rPr>
      <w:fldChar w:fldCharType="begin"/>
      <w:instrText xml:space="preserve">PAGE</w:instrText>
      <w:fldChar w:fldCharType="separate"/>
      <w:fldChar w:fldCharType="end"/>
    </w:r>
    <w:r>
      <w:rPr>
        <w:color w:val="666666"/>
        <w:sz w:val="18"/>
        <w:szCs w:val="18"/>
      </w:rPr>
      <w:t xml:space="preserve"> of </w:t>
    </w:r>
    <w:r>
      <w:rPr>
        <w:color w:val="666666"/>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i/>
        <w:iCs/>
        <w:color w:val="666666"/>
        <w:sz w:val="18"/>
        <w:szCs w:val="18"/>
      </w:rPr>
      <w:t xml:space="preserve">MARKETING AGREEMENT — Searchable Companion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40" w:before="360"/>
      <w:outlineLvl w:val="0"/>
    </w:pPr>
    <w:rPr>
      <w:rFonts w:ascii="Calibri" w:cs="Calibri" w:eastAsia="Calibri" w:hAnsi="Calibri"/>
      <w:b/>
      <w:bCs/>
      <w:color w:val="1F3864"/>
      <w:sz w:val="30"/>
      <w:szCs w:val="30"/>
    </w:rPr>
  </w:style>
  <w:style w:type="paragraph" w:styleId="Heading2">
    <w:name w:val="Heading 2"/>
    <w:basedOn w:val="Normal"/>
    <w:next w:val="Normal"/>
    <w:qFormat/>
    <w:pPr>
      <w:spacing w:after="200" w:before="320"/>
      <w:outlineLvl w:val="1"/>
    </w:pPr>
    <w:rPr>
      <w:rFonts w:ascii="Calibri" w:cs="Calibri" w:eastAsia="Calibri" w:hAnsi="Calibri"/>
      <w:b/>
      <w:bCs/>
      <w:color w:val="1F3864"/>
      <w:sz w:val="26"/>
      <w:szCs w:val="26"/>
    </w:rPr>
  </w:style>
  <w:style w:type="paragraph" w:styleId="Heading3">
    <w:name w:val="Heading 3"/>
    <w:basedOn w:val="Normal"/>
    <w:next w:val="Normal"/>
    <w:qFormat/>
    <w:pPr>
      <w:spacing w:after="160" w:before="240"/>
      <w:outlineLvl w:val="2"/>
    </w:pPr>
    <w:rPr>
      <w:rFonts w:ascii="Calibri" w:cs="Calibri" w:eastAsia="Calibri" w:hAnsi="Calibri"/>
      <w:b/>
      <w:bCs/>
      <w:color w:val="2E75B6"/>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AGREEMENT (Searchable Companion)</dc:title>
  <dc:creator>Harrison Litigation — Database Edition</dc:creator>
  <dc:description>Searchable text edition; operative instrument is the executed PDF</dc:description>
  <cp:lastModifiedBy>Un-named</cp:lastModifiedBy>
  <cp:revision>1</cp:revision>
  <dcterms:created xsi:type="dcterms:W3CDTF">2026-05-06T09:56:21.060Z</dcterms:created>
  <dcterms:modified xsi:type="dcterms:W3CDTF">2026-05-06T09:56:21.060Z</dcterms:modified>
</cp:coreProperties>
</file>

<file path=docProps/custom.xml><?xml version="1.0" encoding="utf-8"?>
<Properties xmlns="http://schemas.openxmlformats.org/officeDocument/2006/custom-properties" xmlns:vt="http://schemas.openxmlformats.org/officeDocument/2006/docPropsVTypes"/>
</file>